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67" w:rsidRPr="009812C2" w:rsidRDefault="00A82C67" w:rsidP="00A82C67">
      <w:pPr>
        <w:jc w:val="right"/>
        <w:rPr>
          <w:rFonts w:ascii="Trebuchet MS" w:hAnsi="Trebuchet MS"/>
          <w:sz w:val="24"/>
          <w:szCs w:val="24"/>
        </w:rPr>
      </w:pPr>
      <w:r w:rsidRPr="009812C2">
        <w:rPr>
          <w:rFonts w:ascii="Trebuchet MS" w:hAnsi="Trebuchet MS"/>
          <w:sz w:val="24"/>
          <w:szCs w:val="24"/>
        </w:rPr>
        <w:t xml:space="preserve">Anexa </w:t>
      </w:r>
      <w:r w:rsidR="00381ECD" w:rsidRPr="009812C2">
        <w:rPr>
          <w:rFonts w:ascii="Trebuchet MS" w:hAnsi="Trebuchet MS"/>
          <w:sz w:val="24"/>
          <w:szCs w:val="24"/>
        </w:rPr>
        <w:t>6</w:t>
      </w:r>
    </w:p>
    <w:p w:rsidR="00A82C67" w:rsidRDefault="00A82C67" w:rsidP="00A82C67">
      <w:pPr>
        <w:rPr>
          <w:rFonts w:ascii="Trebuchet MS" w:hAnsi="Trebuchet MS"/>
          <w:b/>
          <w:sz w:val="24"/>
          <w:szCs w:val="24"/>
        </w:rPr>
      </w:pPr>
      <w:bookmarkStart w:id="0" w:name="_GoBack"/>
      <w:bookmarkEnd w:id="0"/>
    </w:p>
    <w:p w:rsidR="00CE282C" w:rsidRDefault="00CE282C" w:rsidP="00A82C67">
      <w:pPr>
        <w:rPr>
          <w:rFonts w:ascii="Trebuchet MS" w:hAnsi="Trebuchet MS"/>
          <w:b/>
          <w:sz w:val="24"/>
          <w:szCs w:val="24"/>
        </w:rPr>
      </w:pPr>
    </w:p>
    <w:p w:rsidR="00A82C67" w:rsidRPr="007D0528" w:rsidRDefault="00A82C67" w:rsidP="00A82C67">
      <w:pPr>
        <w:rPr>
          <w:rFonts w:ascii="Trebuchet MS" w:hAnsi="Trebuchet MS"/>
          <w:b/>
        </w:rPr>
      </w:pPr>
      <w:r w:rsidRPr="007D0528">
        <w:rPr>
          <w:rFonts w:ascii="Trebuchet MS" w:hAnsi="Trebuchet MS"/>
          <w:b/>
        </w:rPr>
        <w:t>Politica de coeziune 2021-2027</w:t>
      </w:r>
      <w:r w:rsidRPr="007D0528">
        <w:rPr>
          <w:rStyle w:val="FootnoteReference"/>
          <w:rFonts w:ascii="Trebuchet MS" w:hAnsi="Trebuchet MS"/>
          <w:b/>
        </w:rPr>
        <w:footnoteReference w:id="1"/>
      </w:r>
    </w:p>
    <w:p w:rsidR="00A82C67" w:rsidRPr="00095A12" w:rsidRDefault="00A82C67" w:rsidP="00A82C67">
      <w:pPr>
        <w:rPr>
          <w:rFonts w:ascii="Trebuchet MS" w:hAnsi="Trebuchet MS"/>
        </w:rPr>
      </w:pPr>
      <w:r w:rsidRPr="00F87884">
        <w:rPr>
          <w:rFonts w:ascii="Trebuchet MS" w:hAnsi="Trebuchet MS"/>
        </w:rPr>
        <w:t>În cadrul exercițiu</w:t>
      </w:r>
      <w:r w:rsidRPr="005420A4">
        <w:rPr>
          <w:rFonts w:ascii="Trebuchet MS" w:hAnsi="Trebuchet MS"/>
        </w:rPr>
        <w:t xml:space="preserve">lui financiar </w:t>
      </w:r>
      <w:r w:rsidRPr="00095A12">
        <w:rPr>
          <w:rFonts w:ascii="Trebuchet MS" w:hAnsi="Trebuchet MS"/>
        </w:rPr>
        <w:t>2021-2027, Comisia Europeană își propune ca obiectiv modernizarea politicii de coeziune, principala politică de investiții a UE care sprijină acțiunile de modernizare ale industriilor din regiunile Uniunii Europene, investiţiile în inovare și tranziția către o economie circulară, cu emisii scăzute de dioxid de carbon. Totodată, acțiunile avute în vedere pentru perioada post 2020 vor contribui la consolidarea unui mediu favorabil întreprinderilor în Europa, creând condiții adecvate pentru creșterea economică, crearea de locuri de muncă și investiții.</w:t>
      </w:r>
    </w:p>
    <w:p w:rsidR="00A82C67" w:rsidRPr="00095A12" w:rsidRDefault="00A82C67" w:rsidP="00A82C67">
      <w:pPr>
        <w:rPr>
          <w:rFonts w:ascii="Trebuchet MS" w:hAnsi="Trebuchet MS"/>
        </w:rPr>
      </w:pPr>
      <w:r w:rsidRPr="00095A12">
        <w:rPr>
          <w:rFonts w:ascii="Trebuchet MS" w:hAnsi="Trebuchet MS"/>
        </w:rPr>
        <w:t>Politica de coeziune 2021-2027 își concentrează resursele pe 5 Obiective de politică, respectiv:</w:t>
      </w:r>
    </w:p>
    <w:p w:rsidR="00A82C67" w:rsidRPr="00095A12" w:rsidRDefault="00A82C67" w:rsidP="00A82C67">
      <w:pPr>
        <w:rPr>
          <w:rFonts w:ascii="Trebuchet MS" w:hAnsi="Trebuchet MS"/>
          <w:i/>
        </w:rPr>
      </w:pPr>
      <w:r w:rsidRPr="00095A12">
        <w:rPr>
          <w:rFonts w:ascii="Trebuchet MS" w:hAnsi="Trebuchet MS"/>
          <w:i/>
        </w:rPr>
        <w:t xml:space="preserve">1) </w:t>
      </w:r>
      <w:r w:rsidRPr="00095A12">
        <w:rPr>
          <w:rFonts w:ascii="Trebuchet MS" w:hAnsi="Trebuchet MS"/>
          <w:b/>
          <w:i/>
        </w:rPr>
        <w:t xml:space="preserve">O </w:t>
      </w:r>
      <w:r w:rsidRPr="00095A12">
        <w:rPr>
          <w:rStyle w:val="Strong"/>
          <w:rFonts w:ascii="Trebuchet MS" w:hAnsi="Trebuchet MS"/>
          <w:i/>
        </w:rPr>
        <w:t>Europă mai inteligentă</w:t>
      </w:r>
      <w:r w:rsidRPr="00095A12">
        <w:rPr>
          <w:rFonts w:ascii="Trebuchet MS" w:hAnsi="Trebuchet MS"/>
          <w:i/>
        </w:rPr>
        <w:t xml:space="preserve"> prin inovare, digitalizare, transformare economică și sprijinirea întreprinderilor mici și mijlocii;</w:t>
      </w:r>
    </w:p>
    <w:p w:rsidR="00A82C67" w:rsidRPr="00095A12" w:rsidRDefault="00A82C67" w:rsidP="00A82C67">
      <w:pPr>
        <w:rPr>
          <w:rFonts w:ascii="Trebuchet MS" w:hAnsi="Trebuchet MS"/>
          <w:i/>
        </w:rPr>
      </w:pPr>
      <w:r w:rsidRPr="00095A12">
        <w:rPr>
          <w:rFonts w:ascii="Trebuchet MS" w:hAnsi="Trebuchet MS"/>
          <w:i/>
        </w:rPr>
        <w:t xml:space="preserve">2) </w:t>
      </w:r>
      <w:r w:rsidRPr="00095A12">
        <w:rPr>
          <w:rFonts w:ascii="Trebuchet MS" w:hAnsi="Trebuchet MS"/>
          <w:b/>
          <w:i/>
        </w:rPr>
        <w:t>O</w:t>
      </w:r>
      <w:r w:rsidRPr="00095A12">
        <w:rPr>
          <w:rFonts w:ascii="Trebuchet MS" w:hAnsi="Trebuchet MS"/>
          <w:i/>
        </w:rPr>
        <w:t xml:space="preserve"> </w:t>
      </w:r>
      <w:r w:rsidRPr="00095A12">
        <w:rPr>
          <w:rStyle w:val="Strong"/>
          <w:rFonts w:ascii="Trebuchet MS" w:hAnsi="Trebuchet MS"/>
          <w:i/>
        </w:rPr>
        <w:t>Europă mai ecologică</w:t>
      </w:r>
      <w:r w:rsidRPr="00095A12">
        <w:rPr>
          <w:rStyle w:val="Strong"/>
          <w:rFonts w:ascii="Trebuchet MS" w:hAnsi="Trebuchet MS"/>
          <w:b w:val="0"/>
          <w:i/>
        </w:rPr>
        <w:t xml:space="preserve">, </w:t>
      </w:r>
      <w:r w:rsidRPr="00095A12">
        <w:rPr>
          <w:rStyle w:val="Strong"/>
          <w:rFonts w:ascii="Trebuchet MS" w:hAnsi="Trebuchet MS"/>
          <w:i/>
        </w:rPr>
        <w:t>fără emisii de carbon</w:t>
      </w:r>
      <w:r w:rsidRPr="00095A12">
        <w:rPr>
          <w:rFonts w:ascii="Trebuchet MS" w:hAnsi="Trebuchet MS"/>
          <w:i/>
        </w:rPr>
        <w:t>, care implementează Acordul de la Paris și investește în tranziția energetică, energia din surse regenerabile și lupta împotriva schimbărilor climatice;</w:t>
      </w:r>
    </w:p>
    <w:p w:rsidR="00A82C67" w:rsidRPr="00095A12" w:rsidRDefault="00A82C67" w:rsidP="00A82C67">
      <w:pPr>
        <w:pStyle w:val="NormalWeb"/>
        <w:spacing w:before="0" w:beforeAutospacing="0" w:after="120" w:afterAutospacing="0" w:line="276" w:lineRule="auto"/>
        <w:rPr>
          <w:rFonts w:ascii="Trebuchet MS" w:hAnsi="Trebuchet MS"/>
          <w:i/>
          <w:sz w:val="22"/>
          <w:szCs w:val="22"/>
        </w:rPr>
      </w:pPr>
      <w:r w:rsidRPr="00095A12">
        <w:rPr>
          <w:rFonts w:ascii="Trebuchet MS" w:hAnsi="Trebuchet MS"/>
          <w:i/>
          <w:sz w:val="22"/>
          <w:szCs w:val="22"/>
        </w:rPr>
        <w:t xml:space="preserve">3) </w:t>
      </w:r>
      <w:r w:rsidRPr="00095A12">
        <w:rPr>
          <w:rFonts w:ascii="Trebuchet MS" w:hAnsi="Trebuchet MS"/>
          <w:b/>
          <w:i/>
          <w:sz w:val="22"/>
          <w:szCs w:val="22"/>
        </w:rPr>
        <w:t xml:space="preserve">O </w:t>
      </w:r>
      <w:r w:rsidRPr="00095A12">
        <w:rPr>
          <w:rStyle w:val="Strong"/>
          <w:rFonts w:ascii="Trebuchet MS" w:hAnsi="Trebuchet MS"/>
          <w:i/>
          <w:sz w:val="22"/>
          <w:szCs w:val="22"/>
        </w:rPr>
        <w:t>Europă mai conectată</w:t>
      </w:r>
      <w:r w:rsidRPr="00095A12">
        <w:rPr>
          <w:rFonts w:ascii="Trebuchet MS" w:hAnsi="Trebuchet MS"/>
          <w:i/>
          <w:sz w:val="22"/>
          <w:szCs w:val="22"/>
        </w:rPr>
        <w:t>, cu rețele strategice de transport și digitale;</w:t>
      </w:r>
    </w:p>
    <w:p w:rsidR="00A82C67" w:rsidRPr="00095A12" w:rsidRDefault="00A82C67" w:rsidP="00A82C67">
      <w:pPr>
        <w:pStyle w:val="NormalWeb"/>
        <w:spacing w:before="0" w:beforeAutospacing="0" w:after="120" w:afterAutospacing="0" w:line="276" w:lineRule="auto"/>
        <w:rPr>
          <w:rFonts w:ascii="Trebuchet MS" w:hAnsi="Trebuchet MS"/>
          <w:i/>
          <w:sz w:val="22"/>
          <w:szCs w:val="22"/>
        </w:rPr>
      </w:pPr>
      <w:r w:rsidRPr="00095A12">
        <w:rPr>
          <w:rFonts w:ascii="Trebuchet MS" w:hAnsi="Trebuchet MS"/>
          <w:i/>
          <w:sz w:val="22"/>
          <w:szCs w:val="22"/>
        </w:rPr>
        <w:t xml:space="preserve">4) </w:t>
      </w:r>
      <w:r w:rsidRPr="00095A12">
        <w:rPr>
          <w:rFonts w:ascii="Trebuchet MS" w:hAnsi="Trebuchet MS"/>
          <w:b/>
          <w:i/>
          <w:sz w:val="22"/>
          <w:szCs w:val="22"/>
        </w:rPr>
        <w:t>O</w:t>
      </w:r>
      <w:r w:rsidRPr="00095A12">
        <w:rPr>
          <w:rFonts w:ascii="Trebuchet MS" w:hAnsi="Trebuchet MS"/>
          <w:i/>
          <w:sz w:val="22"/>
          <w:szCs w:val="22"/>
        </w:rPr>
        <w:t xml:space="preserve"> </w:t>
      </w:r>
      <w:r w:rsidRPr="00095A12">
        <w:rPr>
          <w:rStyle w:val="Strong"/>
          <w:rFonts w:ascii="Trebuchet MS" w:hAnsi="Trebuchet MS"/>
          <w:i/>
          <w:sz w:val="22"/>
          <w:szCs w:val="22"/>
        </w:rPr>
        <w:t>Europă mai socială</w:t>
      </w:r>
      <w:r w:rsidRPr="00095A12">
        <w:rPr>
          <w:rFonts w:ascii="Trebuchet MS" w:hAnsi="Trebuchet MS"/>
          <w:i/>
          <w:sz w:val="22"/>
          <w:szCs w:val="22"/>
        </w:rPr>
        <w:t xml:space="preserve">, care concretizează obiectivele </w:t>
      </w:r>
      <w:hyperlink r:id="rId6" w:history="1">
        <w:r w:rsidRPr="00095A12">
          <w:rPr>
            <w:rStyle w:val="Hyperlink"/>
            <w:rFonts w:ascii="Trebuchet MS" w:hAnsi="Trebuchet MS"/>
            <w:b/>
            <w:i/>
            <w:sz w:val="22"/>
            <w:szCs w:val="22"/>
          </w:rPr>
          <w:t>Pilonului european al drepturilor sociale</w:t>
        </w:r>
      </w:hyperlink>
      <w:r w:rsidRPr="00095A12">
        <w:rPr>
          <w:rStyle w:val="FootnoteReference"/>
          <w:rFonts w:ascii="Trebuchet MS" w:hAnsi="Trebuchet MS"/>
          <w:b/>
          <w:i/>
          <w:sz w:val="22"/>
          <w:szCs w:val="22"/>
        </w:rPr>
        <w:footnoteReference w:id="2"/>
      </w:r>
      <w:r w:rsidRPr="00095A12">
        <w:rPr>
          <w:rFonts w:ascii="Trebuchet MS" w:hAnsi="Trebuchet MS"/>
          <w:i/>
          <w:sz w:val="22"/>
          <w:szCs w:val="22"/>
        </w:rPr>
        <w:t xml:space="preserve"> și sprijină ocuparea forței de muncă, educația, competențele, incluziunea socială la standarde ridicate de calitate și accesul egal la asistență medicală;</w:t>
      </w:r>
    </w:p>
    <w:p w:rsidR="00A82C67" w:rsidRPr="00095A12" w:rsidRDefault="00A82C67" w:rsidP="00A82C67">
      <w:pPr>
        <w:pStyle w:val="NormalWeb"/>
        <w:spacing w:before="0" w:beforeAutospacing="0" w:after="120" w:afterAutospacing="0" w:line="276" w:lineRule="auto"/>
        <w:rPr>
          <w:rFonts w:ascii="Trebuchet MS" w:hAnsi="Trebuchet MS"/>
          <w:i/>
          <w:sz w:val="22"/>
          <w:szCs w:val="22"/>
        </w:rPr>
      </w:pPr>
      <w:r w:rsidRPr="00095A12">
        <w:rPr>
          <w:rFonts w:ascii="Trebuchet MS" w:hAnsi="Trebuchet MS"/>
          <w:i/>
          <w:sz w:val="22"/>
          <w:szCs w:val="22"/>
        </w:rPr>
        <w:t xml:space="preserve">5) </w:t>
      </w:r>
      <w:r w:rsidRPr="00095A12">
        <w:rPr>
          <w:rFonts w:ascii="Trebuchet MS" w:hAnsi="Trebuchet MS"/>
          <w:b/>
          <w:i/>
          <w:sz w:val="22"/>
          <w:szCs w:val="22"/>
        </w:rPr>
        <w:t xml:space="preserve">O </w:t>
      </w:r>
      <w:r w:rsidRPr="00095A12">
        <w:rPr>
          <w:rStyle w:val="Strong"/>
          <w:rFonts w:ascii="Trebuchet MS" w:hAnsi="Trebuchet MS"/>
          <w:i/>
          <w:sz w:val="22"/>
          <w:szCs w:val="22"/>
        </w:rPr>
        <w:t>Europă mai apropiată de cetățeni</w:t>
      </w:r>
      <w:r w:rsidRPr="00095A12">
        <w:rPr>
          <w:rFonts w:ascii="Trebuchet MS" w:hAnsi="Trebuchet MS"/>
          <w:i/>
          <w:sz w:val="22"/>
          <w:szCs w:val="22"/>
        </w:rPr>
        <w:t>, care sprijină strategiile de dezvoltare la nivel local și dezvoltarea urbană durabilă în întreaga UE.</w:t>
      </w:r>
      <w:r>
        <w:rPr>
          <w:rFonts w:ascii="Trebuchet MS" w:hAnsi="Trebuchet MS"/>
          <w:i/>
          <w:sz w:val="22"/>
          <w:szCs w:val="22"/>
        </w:rPr>
        <w:t xml:space="preserve"> – despre implementarea Pilonului european al drepturilor sociale.</w:t>
      </w:r>
    </w:p>
    <w:p w:rsidR="00A82C67" w:rsidRPr="00095A12" w:rsidRDefault="00A82C67" w:rsidP="00A82C67">
      <w:pPr>
        <w:pStyle w:val="NormalWeb"/>
        <w:spacing w:before="0" w:beforeAutospacing="0" w:after="120" w:afterAutospacing="0" w:line="276" w:lineRule="auto"/>
        <w:rPr>
          <w:rFonts w:ascii="Trebuchet MS" w:hAnsi="Trebuchet MS"/>
          <w:sz w:val="22"/>
          <w:szCs w:val="22"/>
        </w:rPr>
      </w:pPr>
      <w:r w:rsidRPr="00095A12">
        <w:rPr>
          <w:rFonts w:ascii="Trebuchet MS" w:hAnsi="Trebuchet MS"/>
          <w:sz w:val="22"/>
          <w:szCs w:val="22"/>
        </w:rPr>
        <w:t>Pentru perioada 2021-2027,</w:t>
      </w:r>
      <w:r w:rsidRPr="00095A12">
        <w:rPr>
          <w:rFonts w:ascii="Trebuchet MS" w:hAnsi="Trebuchet MS"/>
          <w:i/>
          <w:sz w:val="22"/>
          <w:szCs w:val="22"/>
        </w:rPr>
        <w:t xml:space="preserve"> condițiile favorizante </w:t>
      </w:r>
      <w:r w:rsidRPr="00095A12">
        <w:rPr>
          <w:rFonts w:ascii="Trebuchet MS" w:hAnsi="Trebuchet MS"/>
          <w:sz w:val="22"/>
          <w:szCs w:val="22"/>
        </w:rPr>
        <w:t xml:space="preserve">continuă abordarea condiționalităților ex-ante introduse pentru perioada de finanțare 2014-2020. În cadrul pachetului legislativ aferent perioadei de programare 2021-2027 sunt considerate 20 de condiții, patru dintre acestea fiind orizontale, aplicabile tuturor obiectivelor specifice, și 16  fiind tematice pentru FEDR, FC și FSE+.  </w:t>
      </w:r>
    </w:p>
    <w:p w:rsidR="00A82C67" w:rsidRPr="00095A12" w:rsidRDefault="00A82C67" w:rsidP="00A82C67">
      <w:pPr>
        <w:pStyle w:val="NormalWeb"/>
        <w:spacing w:before="0" w:beforeAutospacing="0" w:after="120" w:afterAutospacing="0" w:line="276" w:lineRule="auto"/>
        <w:rPr>
          <w:rFonts w:ascii="Trebuchet MS" w:hAnsi="Trebuchet MS"/>
          <w:sz w:val="22"/>
          <w:szCs w:val="22"/>
        </w:rPr>
      </w:pPr>
      <w:r w:rsidRPr="00095A12">
        <w:rPr>
          <w:rFonts w:ascii="Trebuchet MS" w:hAnsi="Trebuchet MS"/>
          <w:sz w:val="22"/>
          <w:szCs w:val="22"/>
        </w:rPr>
        <w:t>Propunerea de Regulament al Dispozițiilor Comune menționează la art. 11 alin.(2) faptul că cel care evaluează dacă sunt îndeplinite condițiile favorizante legate de obiectivul specific selecționat este chiar statul membru, care identifică, în fiecare program sau modificare a programului, condițiile favorizante îndeplinite și neîndeplinite, cu  includerea unei justificări atunci când consideră că o condiție favorizantă este îndeplinită. O condiție favorizantă este îndeplinită atunci când sunt respectate toate criteriile aferente.</w:t>
      </w:r>
    </w:p>
    <w:p w:rsidR="00A82C67" w:rsidRPr="00095A12" w:rsidRDefault="00A82C67" w:rsidP="00A82C67">
      <w:pPr>
        <w:pStyle w:val="NormalWeb"/>
        <w:spacing w:before="0" w:beforeAutospacing="0" w:after="120" w:afterAutospacing="0" w:line="276" w:lineRule="auto"/>
        <w:rPr>
          <w:rFonts w:ascii="Trebuchet MS" w:hAnsi="Trebuchet MS"/>
          <w:sz w:val="22"/>
          <w:szCs w:val="22"/>
        </w:rPr>
      </w:pPr>
      <w:r w:rsidRPr="00095A12">
        <w:rPr>
          <w:rFonts w:ascii="Trebuchet MS" w:hAnsi="Trebuchet MS"/>
          <w:sz w:val="22"/>
          <w:szCs w:val="22"/>
        </w:rPr>
        <w:lastRenderedPageBreak/>
        <w:t xml:space="preserve">În situația în care Comisia Europeană nu este de acord cu autoevaluarea, aceasta informează statul membru cu privire la acest lucru și îi dă posibilitatea să-și prezinte observațiile în termen de o lună. Cheltuielile aferente unor operațiuni legate de obiectivul specific nu pot fi incluse în cererile de plată până când Comisia nu a informat statul membru cu privire la îndeplinirea condiției favorizante. Acest proces este unul continuu, statul membru având obligația de a se asigura de îndeplinirea și aplicarea condițiilor favorizante pe întreg parcursul perioadei de programare și de a informa Comisia în legătură cu orice modificare care are un impact asupra îndeplinirii condițiilor favorizante. Atunci când Comisia concluzionează că neîndeplinirea condiției favorizante persistă, </w:t>
      </w:r>
      <w:r w:rsidRPr="00095A12">
        <w:rPr>
          <w:rFonts w:ascii="Trebuchet MS" w:hAnsi="Trebuchet MS"/>
          <w:i/>
          <w:sz w:val="22"/>
          <w:szCs w:val="22"/>
        </w:rPr>
        <w:t>cheltuielile aferente obiectivului specific în cauză nu pot fi incluse în cererile de plată începând cu data la care Comisia informează statul membru cu privire la acest lucru</w:t>
      </w:r>
      <w:r w:rsidRPr="00095A12">
        <w:rPr>
          <w:rFonts w:ascii="Trebuchet MS" w:hAnsi="Trebuchet MS"/>
          <w:sz w:val="22"/>
          <w:szCs w:val="22"/>
        </w:rPr>
        <w:t>.</w:t>
      </w:r>
    </w:p>
    <w:p w:rsidR="00CB5AC5" w:rsidRDefault="005F3ACF"/>
    <w:p w:rsidR="00BD7BCB" w:rsidRPr="00BD7BCB" w:rsidRDefault="00BD7BCB" w:rsidP="00BD7BCB">
      <w:pPr>
        <w:rPr>
          <w:rFonts w:ascii="Trebuchet MS" w:eastAsia="Calibri" w:hAnsi="Trebuchet MS" w:cs="Times New Roman"/>
          <w:b/>
        </w:rPr>
      </w:pPr>
      <w:r w:rsidRPr="00BD7BCB">
        <w:rPr>
          <w:rFonts w:ascii="Trebuchet MS" w:eastAsia="Calibri" w:hAnsi="Trebuchet MS" w:cs="Times New Roman"/>
          <w:b/>
        </w:rPr>
        <w:t>Regulamentele europene 2021-2027</w:t>
      </w:r>
    </w:p>
    <w:p w:rsidR="00BD7BCB" w:rsidRPr="007B1BD3" w:rsidRDefault="00BD7BCB" w:rsidP="00BD7BCB">
      <w:pPr>
        <w:rPr>
          <w:rFonts w:ascii="Trebuchet MS" w:eastAsia="Calibri" w:hAnsi="Trebuchet MS" w:cs="Times New Roman"/>
        </w:rPr>
      </w:pPr>
      <w:r w:rsidRPr="007B1BD3">
        <w:rPr>
          <w:rFonts w:ascii="Trebuchet MS" w:eastAsia="Calibri" w:hAnsi="Trebuchet MS" w:cs="Times New Roman"/>
          <w:b/>
        </w:rPr>
        <w:t xml:space="preserve">Regulamentul Parlamentului European și al Consiliului nr. </w:t>
      </w:r>
      <w:r w:rsidRPr="007B1BD3">
        <w:rPr>
          <w:rFonts w:ascii="Trebuchet MS" w:eastAsia="Calibri" w:hAnsi="Trebuchet MS" w:cs="Times New Roman"/>
          <w:b/>
          <w:highlight w:val="yellow"/>
        </w:rPr>
        <w:t>X</w:t>
      </w:r>
      <w:r w:rsidRPr="007B1BD3">
        <w:rPr>
          <w:rFonts w:ascii="Trebuchet MS" w:eastAsia="Calibri" w:hAnsi="Trebuchet MS" w:cs="Times New Roman"/>
          <w:b/>
        </w:rPr>
        <w:t xml:space="preserve"> </w:t>
      </w:r>
      <w:r w:rsidRPr="007B1BD3">
        <w:rPr>
          <w:rFonts w:ascii="Trebuchet MS" w:eastAsia="Calibri" w:hAnsi="Trebuchet MS" w:cs="Times New Roman"/>
        </w:rPr>
        <w:t>stabilește dispoziții comune pentru opt fonduri cu gestiune partajată și reduce fragmentarea prevederilor, oferind un set comun de norme de bază pentru următoarele fonduri: Fondul european de dezvoltare regională, Fondul social european plus, Fondul de coeziune, Fondul pentru o tranziție justă și Fondul european pentru pescuit și afaceri maritime, și de instituire a unor norme financiare aplicabile acestor fonduri, precum și Fondului pentru azil și migrație, Fondului pentru securitate internă și Instrumentului pentru managementul frontierelor și vize. Prin acest regulament se stabilesc ca obiective principale: (i) reducerea în mod substanțial a sarcinii administrative inutile impuse beneficiarilor și organismelor de management, menținând, în același timp, un nivel ridicat de garantare a legalității și regularității, (ii) creșterea flexibilității pentru a adapta obiectivele și resursele programului în funcție de modificarea circumstanțelor și (iii) mai buna aliniere a programelor cu prioritățile UE și sporirea eficacității acestora. Cu privire la acest ultim aspect, regulamentul propune stabilirea unor „condiții favorizante” mai semnificative care trebuie să fie menținute pe parcursul întregii perioade de implementare.</w:t>
      </w:r>
    </w:p>
    <w:p w:rsidR="00BD7BCB" w:rsidRPr="007B1BD3" w:rsidRDefault="00BD7BCB" w:rsidP="00BD7BCB">
      <w:pPr>
        <w:rPr>
          <w:rFonts w:ascii="Trebuchet MS" w:eastAsia="Calibri" w:hAnsi="Trebuchet MS" w:cs="Times New Roman"/>
        </w:rPr>
      </w:pPr>
      <w:r w:rsidRPr="007B1BD3">
        <w:rPr>
          <w:rFonts w:ascii="Trebuchet MS" w:eastAsia="Calibri" w:hAnsi="Trebuchet MS" w:cs="Times New Roman"/>
          <w:b/>
        </w:rPr>
        <w:t xml:space="preserve">Regulamentul Parlamentului European și al Consiliului nr. </w:t>
      </w:r>
      <w:r w:rsidRPr="007B1BD3">
        <w:rPr>
          <w:rFonts w:ascii="Trebuchet MS" w:eastAsia="Calibri" w:hAnsi="Trebuchet MS" w:cs="Times New Roman"/>
          <w:b/>
          <w:highlight w:val="yellow"/>
        </w:rPr>
        <w:t>X</w:t>
      </w:r>
      <w:r w:rsidRPr="007B1BD3">
        <w:rPr>
          <w:rFonts w:ascii="Trebuchet MS" w:eastAsia="Calibri" w:hAnsi="Trebuchet MS" w:cs="Times New Roman"/>
          <w:b/>
        </w:rPr>
        <w:t xml:space="preserve"> privind Fondul european de dezvoltare regională </w:t>
      </w:r>
      <w:r w:rsidRPr="007B1BD3">
        <w:rPr>
          <w:rFonts w:ascii="Trebuchet MS" w:eastAsia="Calibri" w:hAnsi="Trebuchet MS" w:cs="Times New Roman"/>
        </w:rPr>
        <w:t>(</w:t>
      </w:r>
      <w:r w:rsidRPr="007B1BD3">
        <w:rPr>
          <w:rFonts w:ascii="Trebuchet MS" w:eastAsia="Calibri" w:hAnsi="Trebuchet MS" w:cs="Times New Roman"/>
          <w:b/>
        </w:rPr>
        <w:t>FEDR</w:t>
      </w:r>
      <w:r w:rsidRPr="007B1BD3">
        <w:rPr>
          <w:rFonts w:ascii="Trebuchet MS" w:eastAsia="Calibri" w:hAnsi="Trebuchet MS" w:cs="Times New Roman"/>
        </w:rPr>
        <w:t>)</w:t>
      </w:r>
      <w:r w:rsidRPr="007B1BD3">
        <w:rPr>
          <w:rFonts w:ascii="Trebuchet MS" w:eastAsia="Calibri" w:hAnsi="Trebuchet MS" w:cs="Times New Roman"/>
          <w:b/>
        </w:rPr>
        <w:t xml:space="preserve"> și Fondul de coeziune </w:t>
      </w:r>
      <w:r w:rsidRPr="007B1BD3">
        <w:rPr>
          <w:rFonts w:ascii="Trebuchet MS" w:eastAsia="Calibri" w:hAnsi="Trebuchet MS" w:cs="Times New Roman"/>
        </w:rPr>
        <w:t>(</w:t>
      </w:r>
      <w:r w:rsidRPr="007B1BD3">
        <w:rPr>
          <w:rFonts w:ascii="Trebuchet MS" w:eastAsia="Calibri" w:hAnsi="Trebuchet MS" w:cs="Times New Roman"/>
          <w:b/>
        </w:rPr>
        <w:t>FC</w:t>
      </w:r>
      <w:r w:rsidRPr="007B1BD3">
        <w:rPr>
          <w:rFonts w:ascii="Trebuchet MS" w:eastAsia="Calibri" w:hAnsi="Trebuchet MS" w:cs="Times New Roman"/>
        </w:rPr>
        <w:t xml:space="preserve">) abordează aspecte care se concentrează în continuare pe combaterea decalajelor regionale și pe provocările cu care se confruntă regiunile din întreaga Europă, pe creșterea inteligentă prin strategii de specializare inteligentă și asupra economiei circulare și cu emisii scăzute de carbon, pe cooperarea interregională, pe promovarea dezvoltării locale bazate pe strategii teritoriale și locale integrate și încurajarea dezvoltării urbane durabile.  </w:t>
      </w:r>
    </w:p>
    <w:p w:rsidR="00BD7BCB" w:rsidRPr="007B1BD3" w:rsidRDefault="00BD7BCB" w:rsidP="00BD7BCB">
      <w:pPr>
        <w:rPr>
          <w:rFonts w:ascii="Trebuchet MS" w:eastAsia="Calibri" w:hAnsi="Trebuchet MS" w:cs="Times New Roman"/>
        </w:rPr>
      </w:pPr>
      <w:r w:rsidRPr="007B1BD3">
        <w:rPr>
          <w:rFonts w:ascii="Trebuchet MS" w:eastAsia="Calibri" w:hAnsi="Trebuchet MS" w:cs="Times New Roman"/>
          <w:b/>
        </w:rPr>
        <w:t xml:space="preserve">Regulamentul Parlamentului European și al Consiliului privind nr. </w:t>
      </w:r>
      <w:r w:rsidRPr="007B1BD3">
        <w:rPr>
          <w:rFonts w:ascii="Trebuchet MS" w:eastAsia="Calibri" w:hAnsi="Trebuchet MS" w:cs="Times New Roman"/>
          <w:b/>
          <w:highlight w:val="yellow"/>
        </w:rPr>
        <w:t>X</w:t>
      </w:r>
      <w:r w:rsidRPr="007B1BD3">
        <w:rPr>
          <w:rFonts w:ascii="Trebuchet MS" w:eastAsia="Calibri" w:hAnsi="Trebuchet MS" w:cs="Times New Roman"/>
          <w:b/>
        </w:rPr>
        <w:t xml:space="preserve">  Fondul Social European Plus (FSE</w:t>
      </w:r>
      <w:r w:rsidRPr="007B1BD3">
        <w:rPr>
          <w:rFonts w:ascii="Trebuchet MS" w:eastAsia="Calibri" w:hAnsi="Trebuchet MS" w:cs="Times New Roman"/>
        </w:rPr>
        <w:t>+</w:t>
      </w:r>
      <w:r w:rsidRPr="007B1BD3">
        <w:rPr>
          <w:rFonts w:ascii="Trebuchet MS" w:eastAsia="Calibri" w:hAnsi="Trebuchet MS" w:cs="Times New Roman"/>
          <w:b/>
        </w:rPr>
        <w:t xml:space="preserve">) </w:t>
      </w:r>
      <w:r w:rsidRPr="007B1BD3">
        <w:rPr>
          <w:rFonts w:ascii="Trebuchet MS" w:eastAsia="Calibri" w:hAnsi="Trebuchet MS" w:cs="Times New Roman"/>
        </w:rPr>
        <w:t>este principalul instrument al UE de investiții în oameni și de punere în aplicare a Pilonului European al Drepturilor Sociale. Astfel, FSE+ sprijină politicile și prioritățile care contribuie la ocuparea integrală a forței de muncă, la îmbunătățirea calității și a productivității la locul de muncă, la sporirea mobilității geografice și profesionale a lucrătorilor în cadrul Uniunii, la îmbunătățirea sistemelor de educație și formare și la promovarea incluziunii sociale și a sănătății.</w:t>
      </w:r>
    </w:p>
    <w:p w:rsidR="00BD7BCB" w:rsidRPr="007B1BD3" w:rsidRDefault="00BD7BCB" w:rsidP="00BD7BCB">
      <w:pPr>
        <w:rPr>
          <w:rFonts w:ascii="Trebuchet MS" w:eastAsia="Calibri" w:hAnsi="Trebuchet MS" w:cs="Times New Roman"/>
        </w:rPr>
      </w:pPr>
      <w:r w:rsidRPr="007B1BD3">
        <w:rPr>
          <w:rFonts w:ascii="Trebuchet MS" w:eastAsia="Calibri" w:hAnsi="Trebuchet MS" w:cs="Times New Roman"/>
          <w:b/>
        </w:rPr>
        <w:lastRenderedPageBreak/>
        <w:t xml:space="preserve">Regulamentul Parlamentului European și al Consiliului nr. </w:t>
      </w:r>
      <w:r w:rsidRPr="007B1BD3">
        <w:rPr>
          <w:rFonts w:ascii="Trebuchet MS" w:eastAsia="Calibri" w:hAnsi="Trebuchet MS" w:cs="Times New Roman"/>
          <w:b/>
          <w:highlight w:val="yellow"/>
        </w:rPr>
        <w:t>X</w:t>
      </w:r>
      <w:r w:rsidRPr="007B1BD3">
        <w:rPr>
          <w:rFonts w:ascii="Trebuchet MS" w:eastAsia="Calibri" w:hAnsi="Trebuchet MS" w:cs="Times New Roman"/>
          <w:b/>
        </w:rPr>
        <w:t xml:space="preserve"> privind Fondul European pentru Afaceri Maritime și Activități Pescărești (FEAMAP) </w:t>
      </w:r>
      <w:r w:rsidRPr="007B1BD3">
        <w:rPr>
          <w:rFonts w:ascii="Trebuchet MS" w:eastAsia="Calibri" w:hAnsi="Trebuchet MS" w:cs="Times New Roman"/>
        </w:rPr>
        <w:t xml:space="preserve">urmărește să orienteze finanțarea de la bugetul Uniunii în direcția sprijinirii politicii comune în sectorul pescăresc, a politicii maritime a Uniunii și a angajamentelor internaționale ale Uniunii în domeniul guvernanței oceanelor, în special în contextul Agendei 2030 pentru dezvoltare durabilă. </w:t>
      </w:r>
    </w:p>
    <w:p w:rsidR="00BD7BCB" w:rsidRPr="007B1BD3" w:rsidRDefault="00BD7BCB" w:rsidP="00BD7BCB">
      <w:pPr>
        <w:rPr>
          <w:rFonts w:ascii="Trebuchet MS" w:eastAsia="Calibri" w:hAnsi="Trebuchet MS" w:cs="Times New Roman"/>
        </w:rPr>
      </w:pPr>
      <w:r w:rsidRPr="007B1BD3">
        <w:rPr>
          <w:rFonts w:ascii="Trebuchet MS" w:eastAsia="Calibri" w:hAnsi="Trebuchet MS" w:cs="Times New Roman"/>
          <w:b/>
        </w:rPr>
        <w:t xml:space="preserve">Regulamentul Parlamentului European și al Consiliului nr. </w:t>
      </w:r>
      <w:r w:rsidRPr="007B1BD3">
        <w:rPr>
          <w:rFonts w:ascii="Trebuchet MS" w:eastAsia="Calibri" w:hAnsi="Trebuchet MS" w:cs="Times New Roman"/>
          <w:b/>
          <w:highlight w:val="yellow"/>
        </w:rPr>
        <w:t>X</w:t>
      </w:r>
      <w:r w:rsidRPr="007B1BD3">
        <w:rPr>
          <w:rFonts w:ascii="Trebuchet MS" w:eastAsia="Calibri" w:hAnsi="Trebuchet MS" w:cs="Times New Roman"/>
          <w:b/>
        </w:rPr>
        <w:t xml:space="preserve"> de instituire a Fondului pentru o Tranziție Justă (FTJ) </w:t>
      </w:r>
      <w:r w:rsidRPr="007B1BD3">
        <w:rPr>
          <w:rFonts w:ascii="Trebuchet MS" w:eastAsia="Calibri" w:hAnsi="Trebuchet MS" w:cs="Times New Roman"/>
        </w:rPr>
        <w:t>stabilește ca obiectiv atenuarea efectelor negative ale tranziției climatice, oferind sprijin pentru cele mai afectate teritorii și lucrătorii vizați. În conformitate cu obiectivul specific al FTJ, acțiunile sprijinite de fond vor contribui în mod direct la atenuarea impactului tranziției de la dependența de combustibilii fosili, inclusiv cărbune, turbă și șisturi bituminoase, sau de procesele industriale cu emisii ridicate de gaze cu efect de seră, către o economiei locală modernă.</w:t>
      </w:r>
    </w:p>
    <w:p w:rsidR="00BD7BCB" w:rsidRPr="007B1BD3" w:rsidRDefault="00BD7BCB" w:rsidP="00BD7BCB">
      <w:pPr>
        <w:rPr>
          <w:rFonts w:ascii="Trebuchet MS" w:eastAsia="Calibri" w:hAnsi="Trebuchet MS" w:cs="Times New Roman"/>
          <w:b/>
        </w:rPr>
      </w:pPr>
      <w:r w:rsidRPr="007B1BD3">
        <w:rPr>
          <w:rFonts w:ascii="Trebuchet MS" w:eastAsia="Calibri" w:hAnsi="Trebuchet MS" w:cs="Times New Roman"/>
        </w:rPr>
        <w:t>Prin</w:t>
      </w:r>
      <w:r w:rsidRPr="007B1BD3">
        <w:rPr>
          <w:rFonts w:ascii="Trebuchet MS" w:eastAsia="Calibri" w:hAnsi="Trebuchet MS" w:cs="Times New Roman"/>
          <w:b/>
        </w:rPr>
        <w:t xml:space="preserve"> Regulamentul Parlamentului European și al Consiliului nr. </w:t>
      </w:r>
      <w:r w:rsidRPr="007B1BD3">
        <w:rPr>
          <w:rFonts w:ascii="Trebuchet MS" w:eastAsia="Calibri" w:hAnsi="Trebuchet MS" w:cs="Times New Roman"/>
          <w:b/>
          <w:highlight w:val="yellow"/>
        </w:rPr>
        <w:t>X</w:t>
      </w:r>
      <w:r w:rsidRPr="007B1BD3">
        <w:rPr>
          <w:rFonts w:ascii="Trebuchet MS" w:eastAsia="Calibri" w:hAnsi="Trebuchet MS" w:cs="Times New Roman"/>
          <w:b/>
        </w:rPr>
        <w:t xml:space="preserve"> de instituire a Fondului pentru azil și migrație (FAM) </w:t>
      </w:r>
      <w:r w:rsidRPr="007B1BD3">
        <w:rPr>
          <w:rFonts w:ascii="Trebuchet MS" w:eastAsia="Calibri" w:hAnsi="Trebuchet MS" w:cs="Times New Roman"/>
        </w:rPr>
        <w:t>se va</w:t>
      </w:r>
      <w:r w:rsidRPr="007B1BD3">
        <w:rPr>
          <w:rFonts w:ascii="Trebuchet MS" w:eastAsia="Calibri" w:hAnsi="Trebuchet MS" w:cs="Times New Roman"/>
          <w:b/>
        </w:rPr>
        <w:t xml:space="preserve"> </w:t>
      </w:r>
      <w:r w:rsidRPr="007B1BD3">
        <w:rPr>
          <w:rFonts w:ascii="Trebuchet MS" w:eastAsia="Calibri" w:hAnsi="Trebuchet MS" w:cs="Times New Roman"/>
        </w:rPr>
        <w:t>urmări susținerea unei politici solide, realiste și echitabile a UE în materie de migrație, care să recunoască nevoile societăților-gazdă și ale cetățenilor UE, în strânsă colaborare cu parteneri din întreaga lume. Fondul va permite UE să continue să își îndeplinească obligațiile față de persoanele care au nevoie de protecție internațională, să faciliteze returnarea persoanelor care nu au drept de ședere și să sprijine soluții care să oprească fluxurile neregulamentare și necontrolate de migranți, propunând căi sigure și bine gestionate de migrație.</w:t>
      </w:r>
    </w:p>
    <w:p w:rsidR="00BD7BCB" w:rsidRPr="007B1BD3" w:rsidRDefault="00BD7BCB" w:rsidP="00BD7BCB">
      <w:pPr>
        <w:rPr>
          <w:rFonts w:ascii="Trebuchet MS" w:eastAsia="Calibri" w:hAnsi="Trebuchet MS" w:cs="Times New Roman"/>
        </w:rPr>
      </w:pPr>
      <w:r w:rsidRPr="007B1BD3">
        <w:rPr>
          <w:rFonts w:ascii="Trebuchet MS" w:eastAsia="Calibri" w:hAnsi="Trebuchet MS" w:cs="Times New Roman"/>
          <w:b/>
        </w:rPr>
        <w:t xml:space="preserve">Regulamentul Parlamentului European și al Consiliului nr. </w:t>
      </w:r>
      <w:r w:rsidRPr="007B1BD3">
        <w:rPr>
          <w:rFonts w:ascii="Trebuchet MS" w:eastAsia="Calibri" w:hAnsi="Trebuchet MS" w:cs="Times New Roman"/>
          <w:b/>
          <w:highlight w:val="yellow"/>
        </w:rPr>
        <w:t>X</w:t>
      </w:r>
      <w:r w:rsidRPr="007B1BD3">
        <w:rPr>
          <w:rFonts w:ascii="Trebuchet MS" w:eastAsia="Calibri" w:hAnsi="Trebuchet MS" w:cs="Times New Roman"/>
          <w:b/>
        </w:rPr>
        <w:t xml:space="preserve"> a instituit Fondul pentru Securitate Internă </w:t>
      </w:r>
      <w:r w:rsidRPr="007B1BD3">
        <w:rPr>
          <w:rFonts w:ascii="Trebuchet MS" w:eastAsia="Calibri" w:hAnsi="Trebuchet MS" w:cs="Times New Roman"/>
        </w:rPr>
        <w:t>(</w:t>
      </w:r>
      <w:r w:rsidRPr="007B1BD3">
        <w:rPr>
          <w:rFonts w:ascii="Trebuchet MS" w:eastAsia="Calibri" w:hAnsi="Trebuchet MS" w:cs="Times New Roman"/>
          <w:b/>
        </w:rPr>
        <w:t>FSI</w:t>
      </w:r>
      <w:r w:rsidRPr="007B1BD3">
        <w:rPr>
          <w:rFonts w:ascii="Trebuchet MS" w:eastAsia="Calibri" w:hAnsi="Trebuchet MS" w:cs="Times New Roman"/>
        </w:rPr>
        <w:t xml:space="preserve">) cu scopul de a facilita cooperarea transfrontalieră și schimburile de informații dintre funcționarii responsabili cu aplicarea legii din statele membre și alte autorități relevante, în special prin asigurarea interoperabilității diferitelor sisteme de informații ale UE din domeniul securității, precum și prin intensificarea cooperării operaționale transfrontaliere în materie de prevenire, depistare și investigare a actelor de criminalitate transfrontalieră, inclusiv a terorismului. </w:t>
      </w:r>
    </w:p>
    <w:p w:rsidR="00BD7BCB" w:rsidRPr="007B1BD3" w:rsidRDefault="00BD7BCB" w:rsidP="00BD7BCB">
      <w:pPr>
        <w:rPr>
          <w:rFonts w:ascii="Trebuchet MS" w:eastAsia="Calibri" w:hAnsi="Trebuchet MS" w:cs="Times New Roman"/>
          <w:b/>
        </w:rPr>
      </w:pPr>
      <w:r w:rsidRPr="007B1BD3">
        <w:rPr>
          <w:rFonts w:ascii="Trebuchet MS" w:eastAsia="Calibri" w:hAnsi="Trebuchet MS" w:cs="Times New Roman"/>
          <w:b/>
        </w:rPr>
        <w:t xml:space="preserve">Regulamentul Parlamentului European și al Consiliului nr. </w:t>
      </w:r>
      <w:r w:rsidRPr="007B1BD3">
        <w:rPr>
          <w:rFonts w:ascii="Trebuchet MS" w:eastAsia="Calibri" w:hAnsi="Trebuchet MS" w:cs="Times New Roman"/>
          <w:b/>
          <w:highlight w:val="yellow"/>
        </w:rPr>
        <w:t>X</w:t>
      </w:r>
      <w:r w:rsidRPr="007B1BD3">
        <w:rPr>
          <w:rFonts w:ascii="Trebuchet MS" w:eastAsia="Calibri" w:hAnsi="Trebuchet MS" w:cs="Times New Roman"/>
          <w:b/>
        </w:rPr>
        <w:t xml:space="preserve"> de instituire, ca parte a Fondului de gestionare integrată a frontierelor </w:t>
      </w:r>
      <w:r w:rsidRPr="007B1BD3">
        <w:rPr>
          <w:rFonts w:ascii="Trebuchet MS" w:eastAsia="Calibri" w:hAnsi="Trebuchet MS" w:cs="Times New Roman"/>
        </w:rPr>
        <w:t>(</w:t>
      </w:r>
      <w:r w:rsidRPr="007B1BD3">
        <w:rPr>
          <w:rFonts w:ascii="Trebuchet MS" w:eastAsia="Calibri" w:hAnsi="Trebuchet MS" w:cs="Times New Roman"/>
          <w:b/>
        </w:rPr>
        <w:t>FGIF</w:t>
      </w:r>
      <w:r w:rsidRPr="007B1BD3">
        <w:rPr>
          <w:rFonts w:ascii="Trebuchet MS" w:eastAsia="Calibri" w:hAnsi="Trebuchet MS" w:cs="Times New Roman"/>
        </w:rPr>
        <w:t>),</w:t>
      </w:r>
      <w:r w:rsidRPr="007B1BD3">
        <w:rPr>
          <w:rFonts w:ascii="Trebuchet MS" w:eastAsia="Calibri" w:hAnsi="Trebuchet MS" w:cs="Times New Roman"/>
          <w:b/>
        </w:rPr>
        <w:t xml:space="preserve"> a instrumentului de sprijin financiar pentru gestionarea frontierelor și vize </w:t>
      </w:r>
      <w:r w:rsidRPr="007B1BD3">
        <w:rPr>
          <w:rFonts w:ascii="Trebuchet MS" w:eastAsia="Calibri" w:hAnsi="Trebuchet MS" w:cs="Times New Roman"/>
        </w:rPr>
        <w:t>(</w:t>
      </w:r>
      <w:r w:rsidRPr="007B1BD3">
        <w:rPr>
          <w:rFonts w:ascii="Trebuchet MS" w:eastAsia="Calibri" w:hAnsi="Trebuchet MS" w:cs="Times New Roman"/>
          <w:b/>
        </w:rPr>
        <w:t>IMFV</w:t>
      </w:r>
      <w:r w:rsidRPr="007B1BD3">
        <w:rPr>
          <w:rFonts w:ascii="Trebuchet MS" w:eastAsia="Calibri" w:hAnsi="Trebuchet MS" w:cs="Times New Roman"/>
        </w:rPr>
        <w:t>) reglementează sprijinul pentru asigurarea unui control eficace al frontierelor externe ale Uniunii și funcționarea adecvată a spațiului Schengen, precum și pentru prevenirea migrației neregulamentare, facilitând, în același timp, călătoriile în scopuri legitime. De asemenea, este nevoie de finanțare pentru a sprijini uniunea vamală și autoritățile vamale în ceea ce privește controalele mărfurilor la frontierele externe ale Uniunii, pentru a proteja interesele financiare și economice ale Uniunii și ale statelor sale membre, pentru a garanta siguranța și securitatea în Uniune și pentru a proteja Uniunea împotriva practicilor comerciale neloiale și ilegale, facilitând, în același timp, activitățile comerciale legitime.</w:t>
      </w:r>
    </w:p>
    <w:p w:rsidR="00BD7BCB" w:rsidRDefault="00BD7BCB" w:rsidP="00BD7BCB"/>
    <w:p w:rsidR="00BD7BCB" w:rsidRDefault="00BD7BCB"/>
    <w:sectPr w:rsidR="00BD7BC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ACF" w:rsidRDefault="005F3ACF" w:rsidP="00A82C67">
      <w:pPr>
        <w:spacing w:after="0" w:line="240" w:lineRule="auto"/>
      </w:pPr>
      <w:r>
        <w:separator/>
      </w:r>
    </w:p>
  </w:endnote>
  <w:endnote w:type="continuationSeparator" w:id="0">
    <w:p w:rsidR="005F3ACF" w:rsidRDefault="005F3ACF" w:rsidP="00A82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ACF" w:rsidRDefault="005F3ACF" w:rsidP="00A82C67">
      <w:pPr>
        <w:spacing w:after="0" w:line="240" w:lineRule="auto"/>
      </w:pPr>
      <w:r>
        <w:separator/>
      </w:r>
    </w:p>
  </w:footnote>
  <w:footnote w:type="continuationSeparator" w:id="0">
    <w:p w:rsidR="005F3ACF" w:rsidRDefault="005F3ACF" w:rsidP="00A82C67">
      <w:pPr>
        <w:spacing w:after="0" w:line="240" w:lineRule="auto"/>
      </w:pPr>
      <w:r>
        <w:continuationSeparator/>
      </w:r>
    </w:p>
  </w:footnote>
  <w:footnote w:id="1">
    <w:p w:rsidR="00A82C67" w:rsidRPr="00BE7660" w:rsidRDefault="00A82C67" w:rsidP="00A82C67">
      <w:pPr>
        <w:pStyle w:val="FootnoteText"/>
        <w:rPr>
          <w:rFonts w:ascii="Trebuchet MS" w:hAnsi="Trebuchet MS"/>
          <w:sz w:val="16"/>
          <w:szCs w:val="16"/>
        </w:rPr>
      </w:pPr>
      <w:r w:rsidRPr="00BE7660">
        <w:rPr>
          <w:rStyle w:val="FootnoteReference"/>
          <w:rFonts w:ascii="Trebuchet MS" w:hAnsi="Trebuchet MS"/>
          <w:sz w:val="16"/>
          <w:szCs w:val="16"/>
        </w:rPr>
        <w:footnoteRef/>
      </w:r>
      <w:r w:rsidRPr="00BE7660">
        <w:rPr>
          <w:rFonts w:ascii="Trebuchet MS" w:hAnsi="Trebuchet MS"/>
          <w:sz w:val="16"/>
          <w:szCs w:val="16"/>
        </w:rPr>
        <w:t xml:space="preserve"> Informații prelucrate utilizând sursa: </w:t>
      </w:r>
      <w:hyperlink r:id="rId1" w:history="1">
        <w:r w:rsidRPr="00BE7660">
          <w:rPr>
            <w:rStyle w:val="Hyperlink"/>
            <w:rFonts w:ascii="Trebuchet MS" w:hAnsi="Trebuchet MS"/>
            <w:sz w:val="16"/>
            <w:szCs w:val="16"/>
          </w:rPr>
          <w:t>https://europa.eu</w:t>
        </w:r>
      </w:hyperlink>
      <w:r>
        <w:rPr>
          <w:rFonts w:ascii="Trebuchet MS" w:hAnsi="Trebuchet MS"/>
          <w:sz w:val="16"/>
          <w:szCs w:val="16"/>
        </w:rPr>
        <w:t>.</w:t>
      </w:r>
      <w:r w:rsidRPr="00BE7660">
        <w:rPr>
          <w:rFonts w:ascii="Trebuchet MS" w:hAnsi="Trebuchet MS"/>
          <w:sz w:val="16"/>
          <w:szCs w:val="16"/>
        </w:rPr>
        <w:t xml:space="preserve">  </w:t>
      </w:r>
    </w:p>
  </w:footnote>
  <w:footnote w:id="2">
    <w:p w:rsidR="00A82C67" w:rsidRPr="00A43C4E" w:rsidRDefault="00A82C67" w:rsidP="00A82C67">
      <w:pPr>
        <w:pStyle w:val="FootnoteText"/>
        <w:rPr>
          <w:rFonts w:ascii="Trebuchet MS" w:hAnsi="Trebuchet MS"/>
          <w:sz w:val="16"/>
          <w:szCs w:val="16"/>
        </w:rPr>
      </w:pPr>
      <w:r w:rsidRPr="00A43C4E">
        <w:rPr>
          <w:rStyle w:val="FootnoteReference"/>
          <w:rFonts w:ascii="Trebuchet MS" w:hAnsi="Trebuchet MS"/>
          <w:sz w:val="16"/>
          <w:szCs w:val="16"/>
        </w:rPr>
        <w:footnoteRef/>
      </w:r>
      <w:r w:rsidR="00BD7BCB">
        <w:rPr>
          <w:rFonts w:ascii="Trebuchet MS" w:hAnsi="Trebuchet MS"/>
          <w:sz w:val="16"/>
          <w:szCs w:val="16"/>
        </w:rPr>
        <w:t xml:space="preserve"> </w:t>
      </w:r>
      <w:hyperlink r:id="rId2" w:history="1">
        <w:r w:rsidRPr="00742AD0">
          <w:rPr>
            <w:rStyle w:val="Hyperlink"/>
            <w:rFonts w:ascii="Trebuchet MS" w:hAnsi="Trebuchet MS"/>
            <w:sz w:val="16"/>
            <w:szCs w:val="16"/>
          </w:rPr>
          <w:t>https://ec.europa.eu/commission/priorities/deeper-and-fairer-economic-and-monetary-union/european-pillar-social-rights/european-pillar-social-rights-20-principles_ro</w:t>
        </w:r>
      </w:hyperlink>
      <w:r>
        <w:rPr>
          <w:rFonts w:ascii="Trebuchet MS" w:hAnsi="Trebuchet MS"/>
          <w:sz w:val="16"/>
          <w:szCs w:val="16"/>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C67"/>
    <w:rsid w:val="000C6014"/>
    <w:rsid w:val="0019555F"/>
    <w:rsid w:val="00381ECD"/>
    <w:rsid w:val="00466E46"/>
    <w:rsid w:val="004B7B66"/>
    <w:rsid w:val="0057005C"/>
    <w:rsid w:val="005F3ACF"/>
    <w:rsid w:val="00716090"/>
    <w:rsid w:val="007D0528"/>
    <w:rsid w:val="009812C2"/>
    <w:rsid w:val="009E0D53"/>
    <w:rsid w:val="00A82C67"/>
    <w:rsid w:val="00B80177"/>
    <w:rsid w:val="00BD7BCB"/>
    <w:rsid w:val="00C25683"/>
    <w:rsid w:val="00CE2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9F94F9-8DB3-47CE-9FF9-9A979236A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2C67"/>
    <w:pPr>
      <w:spacing w:after="120" w:line="276" w:lineRule="auto"/>
      <w:jc w:val="both"/>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2C67"/>
    <w:rPr>
      <w:color w:val="0563C1" w:themeColor="hyperlink"/>
      <w:u w:val="single"/>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Footnote Text Char1 Char,f"/>
    <w:basedOn w:val="Normal"/>
    <w:link w:val="FootnoteTextChar"/>
    <w:uiPriority w:val="99"/>
    <w:unhideWhenUsed/>
    <w:rsid w:val="00A82C67"/>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f Char"/>
    <w:basedOn w:val="DefaultParagraphFont"/>
    <w:link w:val="FootnoteText"/>
    <w:uiPriority w:val="99"/>
    <w:rsid w:val="00A82C67"/>
    <w:rPr>
      <w:sz w:val="20"/>
      <w:szCs w:val="20"/>
      <w:lang w:val="ro-RO"/>
    </w:rPr>
  </w:style>
  <w:style w:type="character" w:styleId="FootnoteReference">
    <w:name w:val="footnote reference"/>
    <w:aliases w:val="ftref,Footnotes refss,Fussnota,Footnote symbol,Footnote reference number,Times 10 Point,Exposant 3 Point,EN Footnote Reference,note TESI,Footnote Reference Superscript, Zchn Zchn,Footnote number,Footnote Reference Number, BVI fnr,o,Re"/>
    <w:basedOn w:val="DefaultParagraphFont"/>
    <w:uiPriority w:val="99"/>
    <w:unhideWhenUsed/>
    <w:rsid w:val="00A82C67"/>
    <w:rPr>
      <w:vertAlign w:val="superscript"/>
    </w:rPr>
  </w:style>
  <w:style w:type="character" w:styleId="Strong">
    <w:name w:val="Strong"/>
    <w:basedOn w:val="DefaultParagraphFont"/>
    <w:uiPriority w:val="22"/>
    <w:qFormat/>
    <w:rsid w:val="00A82C67"/>
    <w:rPr>
      <w:b/>
      <w:bCs/>
    </w:rPr>
  </w:style>
  <w:style w:type="paragraph" w:styleId="NormalWeb">
    <w:name w:val="Normal (Web)"/>
    <w:basedOn w:val="Normal"/>
    <w:uiPriority w:val="99"/>
    <w:unhideWhenUsed/>
    <w:rsid w:val="00A82C67"/>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f1">
    <w:name w:val="f1"/>
    <w:basedOn w:val="Normal"/>
    <w:next w:val="FootnoteText"/>
    <w:uiPriority w:val="99"/>
    <w:unhideWhenUsed/>
    <w:rsid w:val="00BD7BCB"/>
    <w:pPr>
      <w:spacing w:after="0" w:line="240" w:lineRule="auto"/>
    </w:pPr>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c.europa.eu/commission/priorities/deeper-and-fairer-economic-and-monetary-union/european-pillar-social-rights/european-pillar-social-rights-20-principles_ro" TargetMode="Externa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commission/priorities/deeper-and-fairer-economic-and-monetary-union/european-pillar-social-rights/european-pillar-social-rights-20-principles_ro" TargetMode="External"/><Relationship Id="rId1" Type="http://schemas.openxmlformats.org/officeDocument/2006/relationships/hyperlink" Target="htt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1411</Words>
  <Characters>8049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2020-05-05T05:55:00Z</dcterms:created>
  <dcterms:modified xsi:type="dcterms:W3CDTF">2020-05-05T09:50:00Z</dcterms:modified>
</cp:coreProperties>
</file>